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7DF29" w14:textId="77777777" w:rsidR="00C1648B" w:rsidRDefault="00C1648B" w:rsidP="00C1648B">
      <w:pPr>
        <w:pStyle w:val="NoSpacing"/>
        <w:rPr>
          <w:rFonts w:ascii="Times New Roman" w:hAnsi="Times New Roman" w:cs="Times New Roman"/>
          <w:sz w:val="24"/>
          <w:szCs w:val="24"/>
        </w:rPr>
      </w:pPr>
    </w:p>
    <w:p w14:paraId="326F9F98" w14:textId="19386B1E" w:rsidR="00C1648B" w:rsidRDefault="00C1648B" w:rsidP="00C1648B">
      <w:pPr>
        <w:pStyle w:val="NoSpacing"/>
        <w:rPr>
          <w:rFonts w:ascii="Times New Roman" w:hAnsi="Times New Roman" w:cs="Times New Roman"/>
          <w:sz w:val="24"/>
          <w:szCs w:val="24"/>
        </w:rPr>
      </w:pPr>
      <w:r>
        <w:rPr>
          <w:rFonts w:ascii="Times New Roman" w:hAnsi="Times New Roman" w:cs="Times New Roman"/>
          <w:sz w:val="24"/>
          <w:szCs w:val="24"/>
        </w:rPr>
        <w:t>May 2</w:t>
      </w:r>
      <w:r w:rsidR="0091266C">
        <w:rPr>
          <w:rFonts w:ascii="Times New Roman" w:hAnsi="Times New Roman" w:cs="Times New Roman"/>
          <w:sz w:val="24"/>
          <w:szCs w:val="24"/>
        </w:rPr>
        <w:t>1</w:t>
      </w:r>
      <w:r>
        <w:rPr>
          <w:rFonts w:ascii="Times New Roman" w:hAnsi="Times New Roman" w:cs="Times New Roman"/>
          <w:sz w:val="24"/>
          <w:szCs w:val="24"/>
        </w:rPr>
        <w:t xml:space="preserve">, 2019 </w:t>
      </w:r>
    </w:p>
    <w:p w14:paraId="7F4A4CAD" w14:textId="77777777" w:rsidR="00C1648B" w:rsidRDefault="00C1648B" w:rsidP="00C1648B">
      <w:pPr>
        <w:pStyle w:val="NoSpacing"/>
        <w:rPr>
          <w:rFonts w:ascii="Times New Roman" w:hAnsi="Times New Roman" w:cs="Times New Roman"/>
          <w:sz w:val="24"/>
          <w:szCs w:val="24"/>
        </w:rPr>
      </w:pPr>
    </w:p>
    <w:p w14:paraId="606C8D78" w14:textId="77777777" w:rsidR="00C1648B" w:rsidRDefault="00C1648B" w:rsidP="00C1648B">
      <w:pPr>
        <w:pStyle w:val="NoSpacing"/>
        <w:rPr>
          <w:rFonts w:ascii="Times New Roman" w:hAnsi="Times New Roman" w:cs="Times New Roman"/>
          <w:sz w:val="24"/>
          <w:szCs w:val="24"/>
        </w:rPr>
      </w:pPr>
      <w:r>
        <w:rPr>
          <w:rFonts w:ascii="Times New Roman" w:hAnsi="Times New Roman" w:cs="Times New Roman"/>
          <w:sz w:val="24"/>
          <w:szCs w:val="24"/>
        </w:rPr>
        <w:t>The Honorable Elizabeth Warren</w:t>
      </w:r>
    </w:p>
    <w:p w14:paraId="3F7C21EA" w14:textId="77777777" w:rsidR="00C1648B" w:rsidRDefault="00C1648B" w:rsidP="00C1648B">
      <w:pPr>
        <w:pStyle w:val="NoSpacing"/>
        <w:rPr>
          <w:rFonts w:ascii="Times New Roman" w:hAnsi="Times New Roman" w:cs="Times New Roman"/>
          <w:sz w:val="24"/>
          <w:szCs w:val="24"/>
        </w:rPr>
      </w:pPr>
      <w:r>
        <w:rPr>
          <w:rFonts w:ascii="Times New Roman" w:hAnsi="Times New Roman" w:cs="Times New Roman"/>
          <w:sz w:val="24"/>
          <w:szCs w:val="24"/>
        </w:rPr>
        <w:t>United States Senate</w:t>
      </w:r>
    </w:p>
    <w:p w14:paraId="182DE860" w14:textId="77777777" w:rsidR="00C1648B" w:rsidRDefault="00C1648B" w:rsidP="00C1648B">
      <w:pPr>
        <w:pStyle w:val="NoSpacing"/>
        <w:rPr>
          <w:rFonts w:ascii="Times New Roman" w:hAnsi="Times New Roman" w:cs="Times New Roman"/>
          <w:sz w:val="24"/>
          <w:szCs w:val="24"/>
        </w:rPr>
      </w:pPr>
      <w:r>
        <w:rPr>
          <w:rFonts w:ascii="Times New Roman" w:hAnsi="Times New Roman" w:cs="Times New Roman"/>
          <w:sz w:val="24"/>
          <w:szCs w:val="24"/>
        </w:rPr>
        <w:t>317 Hart Senate of Office Building</w:t>
      </w:r>
    </w:p>
    <w:p w14:paraId="3438609A" w14:textId="77777777" w:rsidR="00C1648B" w:rsidRDefault="00C1648B" w:rsidP="00C1648B">
      <w:pPr>
        <w:pStyle w:val="NoSpacing"/>
        <w:rPr>
          <w:rFonts w:ascii="Times New Roman" w:hAnsi="Times New Roman" w:cs="Times New Roman"/>
          <w:sz w:val="24"/>
          <w:szCs w:val="24"/>
        </w:rPr>
      </w:pPr>
      <w:r>
        <w:rPr>
          <w:rFonts w:ascii="Times New Roman" w:hAnsi="Times New Roman" w:cs="Times New Roman"/>
          <w:sz w:val="24"/>
          <w:szCs w:val="24"/>
        </w:rPr>
        <w:t>Washington, DC 20510</w:t>
      </w:r>
    </w:p>
    <w:p w14:paraId="71DEB07C" w14:textId="77777777" w:rsidR="00C1648B" w:rsidRDefault="00C1648B" w:rsidP="00C1648B">
      <w:pPr>
        <w:rPr>
          <w:rFonts w:ascii="Times New Roman" w:hAnsi="Times New Roman" w:cs="Times New Roman"/>
        </w:rPr>
      </w:pPr>
    </w:p>
    <w:p w14:paraId="07257C43" w14:textId="77777777" w:rsidR="00C1648B" w:rsidRDefault="00C1648B" w:rsidP="00C1648B">
      <w:pPr>
        <w:rPr>
          <w:rFonts w:ascii="Times New Roman" w:hAnsi="Times New Roman" w:cs="Times New Roman"/>
        </w:rPr>
      </w:pPr>
      <w:r>
        <w:rPr>
          <w:rFonts w:ascii="Times New Roman" w:hAnsi="Times New Roman" w:cs="Times New Roman"/>
        </w:rPr>
        <w:t>Dear Senator Warren:</w:t>
      </w:r>
    </w:p>
    <w:p w14:paraId="441CC984" w14:textId="77777777" w:rsidR="00C1648B" w:rsidRDefault="00C1648B" w:rsidP="00C1648B">
      <w:pPr>
        <w:pStyle w:val="Default"/>
        <w:rPr>
          <w:rFonts w:ascii="Times New Roman" w:hAnsi="Times New Roman" w:cs="Times New Roman"/>
          <w:color w:val="auto"/>
        </w:rPr>
      </w:pPr>
    </w:p>
    <w:p w14:paraId="72085E1F" w14:textId="77777777" w:rsidR="0091266C" w:rsidRPr="002813C2" w:rsidRDefault="0091266C" w:rsidP="0091266C">
      <w:pPr>
        <w:pStyle w:val="Default"/>
        <w:rPr>
          <w:rFonts w:ascii="Times New Roman" w:hAnsi="Times New Roman" w:cs="Times New Roman"/>
          <w:color w:val="auto"/>
          <w:sz w:val="22"/>
          <w:szCs w:val="22"/>
        </w:rPr>
      </w:pPr>
      <w:bookmarkStart w:id="0" w:name="_GoBack"/>
      <w:bookmarkEnd w:id="0"/>
      <w:r w:rsidRPr="002813C2">
        <w:rPr>
          <w:rFonts w:ascii="Times New Roman" w:hAnsi="Times New Roman" w:cs="Times New Roman"/>
          <w:color w:val="auto"/>
          <w:sz w:val="22"/>
          <w:szCs w:val="22"/>
        </w:rPr>
        <w:t>The undersigned national organizations in the Mental Health Liaison Group (MHLG) are writing to offer our strong support for the Behavioral Health Coverage Transparency Act of 2019.</w:t>
      </w:r>
    </w:p>
    <w:p w14:paraId="460FBF7A" w14:textId="77777777" w:rsidR="0091266C" w:rsidRPr="002813C2" w:rsidRDefault="0091266C" w:rsidP="0091266C">
      <w:pPr>
        <w:pStyle w:val="Default"/>
        <w:rPr>
          <w:rFonts w:ascii="Times New Roman" w:hAnsi="Times New Roman" w:cs="Times New Roman"/>
          <w:color w:val="auto"/>
          <w:sz w:val="22"/>
          <w:szCs w:val="22"/>
        </w:rPr>
      </w:pPr>
    </w:p>
    <w:p w14:paraId="65317AAB" w14:textId="77777777" w:rsidR="0091266C" w:rsidRPr="002813C2" w:rsidRDefault="0091266C" w:rsidP="0091266C">
      <w:pPr>
        <w:rPr>
          <w:rFonts w:ascii="Times New Roman" w:hAnsi="Times New Roman" w:cs="Times New Roman"/>
          <w:sz w:val="22"/>
          <w:szCs w:val="22"/>
        </w:rPr>
      </w:pPr>
      <w:r w:rsidRPr="002813C2">
        <w:rPr>
          <w:rFonts w:ascii="Times New Roman" w:hAnsi="Times New Roman" w:cs="Times New Roman"/>
          <w:sz w:val="22"/>
          <w:szCs w:val="22"/>
        </w:rPr>
        <w:t>The MHLG is a coalition of national organizations representing consumers, family members, mental health and addiction providers, advocates, payers and other stakeholders committed to strengthening Americans’ access to effective mental health and addiction care. Together, on behalf of the millions of Americans living with mental health and addiction disorders, their families, and communities, we advocate for public policies and funding to improve access to high-quality health care through prevention, early intervention, treatment and recovery services and supports.</w:t>
      </w:r>
    </w:p>
    <w:p w14:paraId="363BD9AC" w14:textId="77777777" w:rsidR="0091266C" w:rsidRPr="002813C2" w:rsidRDefault="0091266C" w:rsidP="0091266C">
      <w:pPr>
        <w:rPr>
          <w:rFonts w:ascii="Times New Roman" w:hAnsi="Times New Roman" w:cs="Times New Roman"/>
          <w:sz w:val="22"/>
          <w:szCs w:val="22"/>
        </w:rPr>
      </w:pPr>
    </w:p>
    <w:p w14:paraId="311A7660" w14:textId="77777777" w:rsidR="0091266C" w:rsidRPr="002813C2" w:rsidRDefault="0091266C" w:rsidP="0091266C">
      <w:pPr>
        <w:rPr>
          <w:rFonts w:ascii="Times New Roman" w:hAnsi="Times New Roman" w:cs="Times New Roman"/>
          <w:sz w:val="22"/>
          <w:szCs w:val="22"/>
        </w:rPr>
      </w:pPr>
      <w:r w:rsidRPr="002813C2">
        <w:rPr>
          <w:rFonts w:ascii="Times New Roman" w:hAnsi="Times New Roman" w:cs="Times New Roman"/>
          <w:sz w:val="22"/>
          <w:szCs w:val="22"/>
        </w:rPr>
        <w:t xml:space="preserve">The MHLG commends the introduction of legislation to strengthen implementation and enforcement of federal rules covering mental health and substance use disorders treatment at parity with other health benefits.  In unity, we advocated tirelessly for the enactment of the Paul Wellstone and Pete Domenici Mental Health and Addiction Equity Act of 2008, and recognize that increased transparency and improved accountability of health insurers is essential to fully realizing both the letter and spirit of this landmark law, and its application to the Affordable Care Act.  </w:t>
      </w:r>
    </w:p>
    <w:p w14:paraId="5F3C0103" w14:textId="77777777" w:rsidR="0091266C" w:rsidRPr="002813C2" w:rsidRDefault="0091266C" w:rsidP="0091266C">
      <w:pPr>
        <w:rPr>
          <w:rFonts w:ascii="Times New Roman" w:hAnsi="Times New Roman" w:cs="Times New Roman"/>
          <w:sz w:val="22"/>
          <w:szCs w:val="22"/>
        </w:rPr>
      </w:pPr>
    </w:p>
    <w:p w14:paraId="1BFFBC83" w14:textId="77777777" w:rsidR="0091266C" w:rsidRPr="002813C2" w:rsidRDefault="0091266C" w:rsidP="0091266C">
      <w:pPr>
        <w:autoSpaceDE w:val="0"/>
        <w:autoSpaceDN w:val="0"/>
        <w:adjustRightInd w:val="0"/>
        <w:rPr>
          <w:rFonts w:ascii="Times New Roman" w:hAnsi="Times New Roman" w:cs="Times New Roman"/>
          <w:sz w:val="22"/>
          <w:szCs w:val="22"/>
        </w:rPr>
      </w:pPr>
      <w:r w:rsidRPr="002813C2">
        <w:rPr>
          <w:rFonts w:ascii="Times New Roman" w:hAnsi="Times New Roman" w:cs="Times New Roman"/>
          <w:sz w:val="22"/>
          <w:szCs w:val="22"/>
        </w:rPr>
        <w:t xml:space="preserve">The Behavioral Health Coverage Transparency Act of 2019 would require issuers to disclose the analysis they perform in making parity determinations; their denial rates for mental health versus medical/surgical claims and the </w:t>
      </w:r>
      <w:proofErr w:type="gramStart"/>
      <w:r w:rsidRPr="002813C2">
        <w:rPr>
          <w:rFonts w:ascii="Times New Roman" w:hAnsi="Times New Roman" w:cs="Times New Roman"/>
          <w:sz w:val="22"/>
          <w:szCs w:val="22"/>
        </w:rPr>
        <w:t>reasons, and</w:t>
      </w:r>
      <w:proofErr w:type="gramEnd"/>
      <w:r w:rsidRPr="002813C2">
        <w:rPr>
          <w:rFonts w:ascii="Times New Roman" w:hAnsi="Times New Roman" w:cs="Times New Roman"/>
          <w:sz w:val="22"/>
          <w:szCs w:val="22"/>
        </w:rPr>
        <w:t xml:space="preserve"> require federal regulators to conduct a minimum of 12 random audits of health plans per year. Additionally, it would create a central online portal so that consumers can easily access publicly available information, as a one-stop shop, including information about their parity rights, information insurers submit about how they make parity decisions, results of audits, and serve to submit complaints. These key provisions will help ensure mental health and addiction coverage </w:t>
      </w:r>
      <w:proofErr w:type="gramStart"/>
      <w:r w:rsidRPr="002813C2">
        <w:rPr>
          <w:rFonts w:ascii="Times New Roman" w:hAnsi="Times New Roman" w:cs="Times New Roman"/>
          <w:sz w:val="22"/>
          <w:szCs w:val="22"/>
        </w:rPr>
        <w:t>is in compliance with</w:t>
      </w:r>
      <w:proofErr w:type="gramEnd"/>
      <w:r w:rsidRPr="002813C2">
        <w:rPr>
          <w:rFonts w:ascii="Times New Roman" w:hAnsi="Times New Roman" w:cs="Times New Roman"/>
          <w:sz w:val="22"/>
          <w:szCs w:val="22"/>
        </w:rPr>
        <w:t xml:space="preserve"> parity, and treatment ultimately becomes available to those in need. </w:t>
      </w:r>
    </w:p>
    <w:p w14:paraId="3CEFC10F" w14:textId="77777777" w:rsidR="0091266C" w:rsidRPr="002813C2" w:rsidRDefault="0091266C" w:rsidP="0091266C">
      <w:pPr>
        <w:autoSpaceDE w:val="0"/>
        <w:autoSpaceDN w:val="0"/>
        <w:adjustRightInd w:val="0"/>
        <w:rPr>
          <w:rFonts w:ascii="Times New Roman" w:hAnsi="Times New Roman" w:cs="Times New Roman"/>
          <w:sz w:val="22"/>
          <w:szCs w:val="22"/>
        </w:rPr>
      </w:pPr>
    </w:p>
    <w:p w14:paraId="54CE43A0" w14:textId="77777777" w:rsidR="0091266C" w:rsidRPr="002813C2" w:rsidRDefault="0091266C" w:rsidP="0091266C">
      <w:pPr>
        <w:rPr>
          <w:rFonts w:ascii="Times New Roman" w:hAnsi="Times New Roman" w:cs="Times New Roman"/>
          <w:sz w:val="22"/>
          <w:szCs w:val="22"/>
        </w:rPr>
      </w:pPr>
      <w:r w:rsidRPr="002813C2">
        <w:rPr>
          <w:rFonts w:ascii="Times New Roman" w:hAnsi="Times New Roman" w:cs="Times New Roman"/>
          <w:sz w:val="22"/>
          <w:szCs w:val="22"/>
        </w:rPr>
        <w:t xml:space="preserve">Thank you for your continued leadership and strong dedication to mental health and substance use disorder parity.  We look forward to working with you to ensure the enactment of this important legislation.  </w:t>
      </w:r>
    </w:p>
    <w:p w14:paraId="08052F8A" w14:textId="77777777" w:rsidR="0091266C" w:rsidRPr="002813C2" w:rsidRDefault="0091266C" w:rsidP="0091266C">
      <w:pPr>
        <w:rPr>
          <w:rFonts w:ascii="Times New Roman" w:hAnsi="Times New Roman" w:cs="Times New Roman"/>
          <w:sz w:val="22"/>
          <w:szCs w:val="22"/>
        </w:rPr>
      </w:pPr>
    </w:p>
    <w:p w14:paraId="49FD6F83" w14:textId="77777777" w:rsidR="0091266C" w:rsidRPr="002813C2" w:rsidRDefault="0091266C" w:rsidP="0091266C">
      <w:pPr>
        <w:rPr>
          <w:rFonts w:ascii="Times New Roman" w:hAnsi="Times New Roman" w:cs="Times New Roman"/>
          <w:sz w:val="22"/>
          <w:szCs w:val="22"/>
          <w:lang w:val="en"/>
        </w:rPr>
      </w:pPr>
      <w:r w:rsidRPr="002813C2">
        <w:rPr>
          <w:rFonts w:ascii="Times New Roman" w:hAnsi="Times New Roman" w:cs="Times New Roman"/>
          <w:sz w:val="22"/>
          <w:szCs w:val="22"/>
          <w:lang w:val="en"/>
        </w:rPr>
        <w:t>Sincerely,</w:t>
      </w:r>
    </w:p>
    <w:p w14:paraId="1AABDF24" w14:textId="77777777" w:rsidR="0091266C" w:rsidRPr="002813C2" w:rsidRDefault="0091266C" w:rsidP="0091266C">
      <w:pPr>
        <w:rPr>
          <w:sz w:val="22"/>
          <w:szCs w:val="22"/>
        </w:rPr>
      </w:pPr>
    </w:p>
    <w:p w14:paraId="4E9C26CB"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American Art Therapy Association</w:t>
      </w:r>
    </w:p>
    <w:p w14:paraId="578914DC"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American Association for Geriatric Psychiatry</w:t>
      </w:r>
    </w:p>
    <w:p w14:paraId="40F210F7"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American Association for Marriage and Family Therapy</w:t>
      </w:r>
    </w:p>
    <w:p w14:paraId="2181B3CA" w14:textId="77777777" w:rsidR="0091266C" w:rsidRPr="002813C2" w:rsidRDefault="0091266C" w:rsidP="0091266C">
      <w:pPr>
        <w:rPr>
          <w:rFonts w:ascii="Times New Roman" w:hAnsi="Times New Roman" w:cs="Times New Roman"/>
          <w:sz w:val="22"/>
          <w:szCs w:val="22"/>
        </w:rPr>
      </w:pPr>
      <w:r w:rsidRPr="002813C2">
        <w:rPr>
          <w:rFonts w:ascii="Times New Roman" w:hAnsi="Times New Roman" w:cs="Times New Roman"/>
          <w:sz w:val="22"/>
          <w:szCs w:val="22"/>
        </w:rPr>
        <w:t>American Association for Psychoanalysis in Clinical Social Work</w:t>
      </w:r>
    </w:p>
    <w:p w14:paraId="07DB20FB"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American Association of Child &amp; Adolescent Psychiatry</w:t>
      </w:r>
    </w:p>
    <w:p w14:paraId="7C8CF36E"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lastRenderedPageBreak/>
        <w:t xml:space="preserve">American Association </w:t>
      </w:r>
      <w:proofErr w:type="spellStart"/>
      <w:r w:rsidRPr="002813C2">
        <w:rPr>
          <w:rFonts w:ascii="Times New Roman" w:hAnsi="Times New Roman" w:cs="Times New Roman"/>
        </w:rPr>
        <w:t>on</w:t>
      </w:r>
      <w:proofErr w:type="spellEnd"/>
      <w:r w:rsidRPr="002813C2">
        <w:rPr>
          <w:rFonts w:ascii="Times New Roman" w:hAnsi="Times New Roman" w:cs="Times New Roman"/>
        </w:rPr>
        <w:t xml:space="preserve"> Health and Disability</w:t>
      </w:r>
    </w:p>
    <w:p w14:paraId="4663B048"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American Dance Therapy Association</w:t>
      </w:r>
    </w:p>
    <w:p w14:paraId="796E9497"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American Foundation for Suicide Prevention</w:t>
      </w:r>
    </w:p>
    <w:p w14:paraId="22476E47"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American Group Psychotherapy Association</w:t>
      </w:r>
    </w:p>
    <w:p w14:paraId="295E525E"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American Mental Health Counselors Association</w:t>
      </w:r>
    </w:p>
    <w:p w14:paraId="228A98F2"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American Occupational Therapy Association</w:t>
      </w:r>
    </w:p>
    <w:p w14:paraId="3A1A499E"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American Psychiatric Association</w:t>
      </w:r>
    </w:p>
    <w:p w14:paraId="1D86F3BD" w14:textId="77777777" w:rsidR="0091266C" w:rsidRPr="002813C2" w:rsidRDefault="0091266C" w:rsidP="0091266C">
      <w:pPr>
        <w:rPr>
          <w:rFonts w:ascii="Times New Roman" w:hAnsi="Times New Roman" w:cs="Times New Roman"/>
          <w:sz w:val="22"/>
          <w:szCs w:val="22"/>
        </w:rPr>
      </w:pPr>
      <w:r w:rsidRPr="002813C2">
        <w:rPr>
          <w:rFonts w:ascii="Times New Roman" w:hAnsi="Times New Roman" w:cs="Times New Roman"/>
          <w:sz w:val="22"/>
          <w:szCs w:val="22"/>
        </w:rPr>
        <w:t>American Psychoanalytic Association</w:t>
      </w:r>
    </w:p>
    <w:p w14:paraId="5D415C1F"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American Psychological Association</w:t>
      </w:r>
    </w:p>
    <w:p w14:paraId="2F77EF86"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American Society of Addiction Medicine</w:t>
      </w:r>
    </w:p>
    <w:p w14:paraId="272CAE7D" w14:textId="77777777" w:rsidR="0091266C" w:rsidRPr="002813C2" w:rsidRDefault="0091266C" w:rsidP="0091266C">
      <w:pPr>
        <w:pStyle w:val="NoSpacing"/>
        <w:rPr>
          <w:rFonts w:ascii="Times New Roman" w:hAnsi="Times New Roman" w:cs="Times New Roman"/>
          <w:color w:val="000000"/>
        </w:rPr>
      </w:pPr>
      <w:r w:rsidRPr="002813C2">
        <w:rPr>
          <w:rFonts w:ascii="Times New Roman" w:hAnsi="Times New Roman" w:cs="Times New Roman"/>
          <w:color w:val="000000"/>
        </w:rPr>
        <w:t>Association for Ambulatory Behavioral Healthcare</w:t>
      </w:r>
    </w:p>
    <w:p w14:paraId="782EBDD5"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Bazelon Center for Mental Health Law</w:t>
      </w:r>
    </w:p>
    <w:p w14:paraId="34359F12"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Campaign for Trauma Informed Policy and Practice</w:t>
      </w:r>
    </w:p>
    <w:p w14:paraId="082457C6"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Center for Clinical Social Work</w:t>
      </w:r>
    </w:p>
    <w:p w14:paraId="7547FF6C"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Children and Adults with Attention-Deficit Hyperactivity Disorder</w:t>
      </w:r>
    </w:p>
    <w:p w14:paraId="661ED0C9"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Clinical Social Work Association</w:t>
      </w:r>
    </w:p>
    <w:p w14:paraId="473CA748" w14:textId="77777777" w:rsidR="0091266C" w:rsidRPr="002813C2" w:rsidRDefault="0091266C" w:rsidP="0091266C">
      <w:pPr>
        <w:rPr>
          <w:rFonts w:ascii="Times New Roman" w:hAnsi="Times New Roman" w:cs="Times New Roman"/>
          <w:sz w:val="22"/>
          <w:szCs w:val="22"/>
        </w:rPr>
      </w:pPr>
      <w:r w:rsidRPr="002813C2">
        <w:rPr>
          <w:rFonts w:ascii="Times New Roman" w:hAnsi="Times New Roman" w:cs="Times New Roman"/>
          <w:sz w:val="22"/>
          <w:szCs w:val="22"/>
        </w:rPr>
        <w:t>College of Psychiatric and Neurologic Pharmacists</w:t>
      </w:r>
    </w:p>
    <w:p w14:paraId="7CEA3D16" w14:textId="77777777" w:rsidR="0091266C" w:rsidRPr="002813C2" w:rsidRDefault="0091266C" w:rsidP="0091266C">
      <w:pPr>
        <w:pStyle w:val="NoSpacing"/>
        <w:rPr>
          <w:rFonts w:ascii="Times New Roman" w:hAnsi="Times New Roman" w:cs="Times New Roman"/>
          <w:color w:val="000000"/>
        </w:rPr>
      </w:pPr>
      <w:r w:rsidRPr="002813C2">
        <w:rPr>
          <w:rFonts w:ascii="Times New Roman" w:hAnsi="Times New Roman" w:cs="Times New Roman"/>
          <w:color w:val="000000"/>
        </w:rPr>
        <w:t>Confederation of Independent Psychoanalytic Societies</w:t>
      </w:r>
    </w:p>
    <w:p w14:paraId="41365D38"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Depression and Bipolar Support Alliance</w:t>
      </w:r>
    </w:p>
    <w:p w14:paraId="5DA2FA4B"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Eating Disorders Coalition</w:t>
      </w:r>
    </w:p>
    <w:p w14:paraId="5068FDFD"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EMDR International Association</w:t>
      </w:r>
    </w:p>
    <w:p w14:paraId="66E4BE94"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Global Alliance for Behavioral Health and Social Justice</w:t>
      </w:r>
    </w:p>
    <w:p w14:paraId="707034A4"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International OCD Foundation</w:t>
      </w:r>
    </w:p>
    <w:p w14:paraId="1BA0619B"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Mental Health America</w:t>
      </w:r>
    </w:p>
    <w:p w14:paraId="72CD2BAE"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NAADAC, the Association for Addiction Professionals</w:t>
      </w:r>
    </w:p>
    <w:p w14:paraId="4411B124"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National Alliance on Mental Illness</w:t>
      </w:r>
    </w:p>
    <w:p w14:paraId="75C58086"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National Alliance to Advance Adolescent Health</w:t>
      </w:r>
    </w:p>
    <w:p w14:paraId="34E09BB4" w14:textId="77777777" w:rsidR="0091266C" w:rsidRPr="002813C2" w:rsidRDefault="0091266C" w:rsidP="0091266C">
      <w:pPr>
        <w:rPr>
          <w:rFonts w:ascii="Times New Roman" w:hAnsi="Times New Roman" w:cs="Times New Roman"/>
          <w:sz w:val="22"/>
          <w:szCs w:val="22"/>
        </w:rPr>
      </w:pPr>
      <w:r w:rsidRPr="002813C2">
        <w:rPr>
          <w:rFonts w:ascii="Times New Roman" w:hAnsi="Times New Roman" w:cs="Times New Roman"/>
          <w:sz w:val="22"/>
          <w:szCs w:val="22"/>
        </w:rPr>
        <w:t>National Association for Children’s Behavioral Health</w:t>
      </w:r>
    </w:p>
    <w:p w14:paraId="27C20828" w14:textId="77777777" w:rsidR="0091266C" w:rsidRPr="002813C2" w:rsidRDefault="0091266C" w:rsidP="0091266C">
      <w:pPr>
        <w:rPr>
          <w:rFonts w:ascii="Times New Roman" w:hAnsi="Times New Roman" w:cs="Times New Roman"/>
          <w:sz w:val="22"/>
          <w:szCs w:val="22"/>
        </w:rPr>
      </w:pPr>
      <w:r w:rsidRPr="002813C2">
        <w:rPr>
          <w:rFonts w:ascii="Times New Roman" w:hAnsi="Times New Roman" w:cs="Times New Roman"/>
          <w:sz w:val="22"/>
          <w:szCs w:val="22"/>
        </w:rPr>
        <w:t>National Association for Behavioral Healthcare</w:t>
      </w:r>
    </w:p>
    <w:p w14:paraId="59BFB01C"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National Association for Rural Mental Health</w:t>
      </w:r>
    </w:p>
    <w:p w14:paraId="29D40A40"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National Association of Social Workers</w:t>
      </w:r>
    </w:p>
    <w:p w14:paraId="4699F831"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 xml:space="preserve">National Association of State Mental Health Program Directors </w:t>
      </w:r>
    </w:p>
    <w:p w14:paraId="1BD33975"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National Council for Behavioral Health</w:t>
      </w:r>
    </w:p>
    <w:p w14:paraId="11500630"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National Eating Disorders Association</w:t>
      </w:r>
    </w:p>
    <w:p w14:paraId="460A1A42"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National Federation of Families for Children’s Mental Health</w:t>
      </w:r>
    </w:p>
    <w:p w14:paraId="0C9E2002"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National Health Care for the Homeless Council</w:t>
      </w:r>
    </w:p>
    <w:p w14:paraId="293EB1E3"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National Register of Health Service Psychologists </w:t>
      </w:r>
    </w:p>
    <w:p w14:paraId="653B1E0A"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NHMH - No Health without Mental Health</w:t>
      </w:r>
    </w:p>
    <w:p w14:paraId="27FC57E6"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Residential Eating Disorders Consortium</w:t>
      </w:r>
    </w:p>
    <w:p w14:paraId="16C4EC79"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School Social Work Association of America</w:t>
      </w:r>
    </w:p>
    <w:p w14:paraId="1BB0903D"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SMART Recovery</w:t>
      </w:r>
    </w:p>
    <w:p w14:paraId="5F9A2310"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Treatment Communities of America</w:t>
      </w:r>
    </w:p>
    <w:p w14:paraId="374011C7" w14:textId="77777777" w:rsidR="0091266C" w:rsidRPr="002813C2" w:rsidRDefault="0091266C" w:rsidP="0091266C">
      <w:pPr>
        <w:pStyle w:val="NoSpacing"/>
        <w:rPr>
          <w:rFonts w:ascii="Times New Roman" w:hAnsi="Times New Roman" w:cs="Times New Roman"/>
        </w:rPr>
      </w:pPr>
      <w:r w:rsidRPr="002813C2">
        <w:rPr>
          <w:rFonts w:ascii="Times New Roman" w:hAnsi="Times New Roman" w:cs="Times New Roman"/>
        </w:rPr>
        <w:t>Trinity Health</w:t>
      </w:r>
    </w:p>
    <w:p w14:paraId="2FF6C786" w14:textId="77777777" w:rsidR="0091266C" w:rsidRPr="002813C2" w:rsidRDefault="0091266C" w:rsidP="0091266C">
      <w:pPr>
        <w:rPr>
          <w:sz w:val="22"/>
          <w:szCs w:val="22"/>
        </w:rPr>
      </w:pPr>
    </w:p>
    <w:p w14:paraId="29513D6B" w14:textId="77777777" w:rsidR="0091266C" w:rsidRPr="002813C2" w:rsidRDefault="0091266C" w:rsidP="0091266C">
      <w:pPr>
        <w:rPr>
          <w:sz w:val="22"/>
          <w:szCs w:val="22"/>
        </w:rPr>
      </w:pPr>
    </w:p>
    <w:p w14:paraId="47FFF6D0" w14:textId="77777777" w:rsidR="0091266C" w:rsidRDefault="0091266C" w:rsidP="00C1648B">
      <w:pPr>
        <w:pStyle w:val="Default"/>
        <w:rPr>
          <w:rFonts w:ascii="Times New Roman" w:hAnsi="Times New Roman" w:cs="Times New Roman"/>
          <w:color w:val="auto"/>
        </w:rPr>
      </w:pPr>
    </w:p>
    <w:sectPr w:rsidR="0091266C" w:rsidSect="00065F23">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C53AD" w14:textId="77777777" w:rsidR="006573B9" w:rsidRDefault="006573B9" w:rsidP="009C600F">
      <w:r>
        <w:separator/>
      </w:r>
    </w:p>
  </w:endnote>
  <w:endnote w:type="continuationSeparator" w:id="0">
    <w:p w14:paraId="56814678" w14:textId="77777777" w:rsidR="006573B9" w:rsidRDefault="006573B9" w:rsidP="009C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97DE9" w14:textId="77777777" w:rsidR="009C600F" w:rsidRDefault="009C600F">
    <w:pPr>
      <w:pStyle w:val="Footer"/>
    </w:pPr>
    <w:r>
      <w:rPr>
        <w:noProof/>
      </w:rPr>
      <w:drawing>
        <wp:anchor distT="0" distB="0" distL="114300" distR="114300" simplePos="0" relativeHeight="251659264" behindDoc="1" locked="0" layoutInCell="1" allowOverlap="1" wp14:anchorId="26BD9779" wp14:editId="5268CB68">
          <wp:simplePos x="0" y="0"/>
          <wp:positionH relativeFrom="page">
            <wp:posOffset>0</wp:posOffset>
          </wp:positionH>
          <wp:positionV relativeFrom="page">
            <wp:posOffset>9427210</wp:posOffset>
          </wp:positionV>
          <wp:extent cx="7772400" cy="30765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LG_letterhead_foot.png"/>
                  <pic:cNvPicPr/>
                </pic:nvPicPr>
                <pic:blipFill>
                  <a:blip r:embed="rId1">
                    <a:extLst>
                      <a:ext uri="{28A0092B-C50C-407E-A947-70E740481C1C}">
                        <a14:useLocalDpi xmlns:a14="http://schemas.microsoft.com/office/drawing/2010/main" val="0"/>
                      </a:ext>
                    </a:extLst>
                  </a:blip>
                  <a:stretch>
                    <a:fillRect/>
                  </a:stretch>
                </pic:blipFill>
                <pic:spPr>
                  <a:xfrm>
                    <a:off x="0" y="0"/>
                    <a:ext cx="7772400" cy="3076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7F5C3" w14:textId="77777777" w:rsidR="006573B9" w:rsidRDefault="006573B9" w:rsidP="009C600F">
      <w:r>
        <w:separator/>
      </w:r>
    </w:p>
  </w:footnote>
  <w:footnote w:type="continuationSeparator" w:id="0">
    <w:p w14:paraId="33BC4843" w14:textId="77777777" w:rsidR="006573B9" w:rsidRDefault="006573B9" w:rsidP="009C6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6E392" w14:textId="77777777" w:rsidR="009C600F" w:rsidRPr="009C600F" w:rsidRDefault="009C600F" w:rsidP="009C600F">
    <w:pPr>
      <w:pStyle w:val="Header"/>
    </w:pPr>
    <w:r>
      <w:rPr>
        <w:noProof/>
      </w:rPr>
      <w:drawing>
        <wp:anchor distT="0" distB="0" distL="114300" distR="114300" simplePos="0" relativeHeight="251658240" behindDoc="1" locked="0" layoutInCell="1" allowOverlap="1" wp14:anchorId="5F9FB6B3" wp14:editId="0D30DDE7">
          <wp:simplePos x="0" y="0"/>
          <wp:positionH relativeFrom="page">
            <wp:posOffset>-3175</wp:posOffset>
          </wp:positionH>
          <wp:positionV relativeFrom="page">
            <wp:posOffset>-166370</wp:posOffset>
          </wp:positionV>
          <wp:extent cx="7766431" cy="1370546"/>
          <wp:effectExtent l="0" t="0" r="635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LG_letterhead_top.png"/>
                  <pic:cNvPicPr/>
                </pic:nvPicPr>
                <pic:blipFill>
                  <a:blip r:embed="rId1">
                    <a:extLst>
                      <a:ext uri="{28A0092B-C50C-407E-A947-70E740481C1C}">
                        <a14:useLocalDpi xmlns:a14="http://schemas.microsoft.com/office/drawing/2010/main" val="0"/>
                      </a:ext>
                    </a:extLst>
                  </a:blip>
                  <a:stretch>
                    <a:fillRect/>
                  </a:stretch>
                </pic:blipFill>
                <pic:spPr>
                  <a:xfrm>
                    <a:off x="0" y="0"/>
                    <a:ext cx="7766431" cy="137054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0F"/>
    <w:rsid w:val="00065F23"/>
    <w:rsid w:val="006573B9"/>
    <w:rsid w:val="0087209B"/>
    <w:rsid w:val="00911281"/>
    <w:rsid w:val="0091266C"/>
    <w:rsid w:val="009C600F"/>
    <w:rsid w:val="00C16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1EEFAA"/>
  <w14:defaultImageDpi w14:val="300"/>
  <w15:docId w15:val="{5C6DF7F1-D9C9-4FAF-970B-C2C68459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00F"/>
    <w:pPr>
      <w:tabs>
        <w:tab w:val="center" w:pos="4320"/>
        <w:tab w:val="right" w:pos="8640"/>
      </w:tabs>
    </w:pPr>
  </w:style>
  <w:style w:type="character" w:customStyle="1" w:styleId="HeaderChar">
    <w:name w:val="Header Char"/>
    <w:basedOn w:val="DefaultParagraphFont"/>
    <w:link w:val="Header"/>
    <w:uiPriority w:val="99"/>
    <w:rsid w:val="009C600F"/>
  </w:style>
  <w:style w:type="paragraph" w:styleId="Footer">
    <w:name w:val="footer"/>
    <w:basedOn w:val="Normal"/>
    <w:link w:val="FooterChar"/>
    <w:uiPriority w:val="99"/>
    <w:unhideWhenUsed/>
    <w:rsid w:val="009C600F"/>
    <w:pPr>
      <w:tabs>
        <w:tab w:val="center" w:pos="4320"/>
        <w:tab w:val="right" w:pos="8640"/>
      </w:tabs>
    </w:pPr>
  </w:style>
  <w:style w:type="character" w:customStyle="1" w:styleId="FooterChar">
    <w:name w:val="Footer Char"/>
    <w:basedOn w:val="DefaultParagraphFont"/>
    <w:link w:val="Footer"/>
    <w:uiPriority w:val="99"/>
    <w:rsid w:val="009C600F"/>
  </w:style>
  <w:style w:type="paragraph" w:styleId="BalloonText">
    <w:name w:val="Balloon Text"/>
    <w:basedOn w:val="Normal"/>
    <w:link w:val="BalloonTextChar"/>
    <w:uiPriority w:val="99"/>
    <w:semiHidden/>
    <w:unhideWhenUsed/>
    <w:rsid w:val="009C600F"/>
    <w:rPr>
      <w:rFonts w:ascii="Lucida Grande" w:hAnsi="Lucida Grande"/>
      <w:sz w:val="18"/>
      <w:szCs w:val="18"/>
    </w:rPr>
  </w:style>
  <w:style w:type="character" w:customStyle="1" w:styleId="BalloonTextChar">
    <w:name w:val="Balloon Text Char"/>
    <w:basedOn w:val="DefaultParagraphFont"/>
    <w:link w:val="BalloonText"/>
    <w:uiPriority w:val="99"/>
    <w:semiHidden/>
    <w:rsid w:val="009C600F"/>
    <w:rPr>
      <w:rFonts w:ascii="Lucida Grande" w:hAnsi="Lucida Grande"/>
      <w:sz w:val="18"/>
      <w:szCs w:val="18"/>
    </w:rPr>
  </w:style>
  <w:style w:type="paragraph" w:styleId="NoSpacing">
    <w:name w:val="No Spacing"/>
    <w:uiPriority w:val="1"/>
    <w:qFormat/>
    <w:rsid w:val="00C1648B"/>
    <w:rPr>
      <w:rFonts w:eastAsiaTheme="minorHAnsi"/>
      <w:sz w:val="22"/>
      <w:szCs w:val="22"/>
    </w:rPr>
  </w:style>
  <w:style w:type="paragraph" w:customStyle="1" w:styleId="Default">
    <w:name w:val="Default"/>
    <w:rsid w:val="00C1648B"/>
    <w:pPr>
      <w:autoSpaceDE w:val="0"/>
      <w:autoSpaceDN w:val="0"/>
      <w:adjustRightInd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71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Juhyeon An</dc:creator>
  <cp:keywords/>
  <dc:description/>
  <cp:lastModifiedBy>Stine, Laurel</cp:lastModifiedBy>
  <cp:revision>3</cp:revision>
  <dcterms:created xsi:type="dcterms:W3CDTF">2019-05-20T19:18:00Z</dcterms:created>
  <dcterms:modified xsi:type="dcterms:W3CDTF">2019-05-21T20:25:00Z</dcterms:modified>
</cp:coreProperties>
</file>