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9150E" w14:textId="35ABCB58" w:rsidR="00065F23" w:rsidRDefault="00065F23"/>
    <w:p w14:paraId="47647ED4" w14:textId="77777777" w:rsidR="00626A2E" w:rsidRDefault="00626A2E" w:rsidP="00626A2E">
      <w:r>
        <w:t>June 18, 2019</w:t>
      </w:r>
    </w:p>
    <w:p w14:paraId="75626AEC" w14:textId="77777777" w:rsidR="00626A2E" w:rsidRDefault="00626A2E" w:rsidP="00626A2E"/>
    <w:p w14:paraId="5BACCCC1" w14:textId="77777777" w:rsidR="00626A2E" w:rsidRDefault="00626A2E" w:rsidP="00626A2E">
      <w:r>
        <w:t>The Honorable Donald Norcross</w:t>
      </w:r>
    </w:p>
    <w:p w14:paraId="0F37ED0C" w14:textId="77777777" w:rsidR="00626A2E" w:rsidRDefault="00626A2E" w:rsidP="00626A2E">
      <w:r>
        <w:t>Vice-Chair, Bipartisan Addiction Task Force</w:t>
      </w:r>
    </w:p>
    <w:p w14:paraId="6F8D8C2B" w14:textId="77777777" w:rsidR="00626A2E" w:rsidRDefault="00626A2E" w:rsidP="00626A2E">
      <w:r>
        <w:t>2437 Rayburn House Office Building</w:t>
      </w:r>
    </w:p>
    <w:p w14:paraId="24475146" w14:textId="77777777" w:rsidR="00626A2E" w:rsidRDefault="00626A2E" w:rsidP="00626A2E">
      <w:r>
        <w:t>Washington, DC 20515</w:t>
      </w:r>
    </w:p>
    <w:p w14:paraId="5F05A373" w14:textId="77777777" w:rsidR="00626A2E" w:rsidRDefault="00626A2E" w:rsidP="00626A2E"/>
    <w:p w14:paraId="765C5561" w14:textId="0ACE6BB2" w:rsidR="00626A2E" w:rsidRDefault="00626A2E" w:rsidP="00626A2E">
      <w:r>
        <w:t>Dear Congressman Norcross:</w:t>
      </w:r>
    </w:p>
    <w:p w14:paraId="2C065459" w14:textId="09DE9528" w:rsidR="00B0640C" w:rsidRDefault="00B0640C" w:rsidP="00626A2E"/>
    <w:p w14:paraId="0EEDC037" w14:textId="75870F25" w:rsidR="00626A2E" w:rsidRDefault="00626A2E" w:rsidP="00626A2E">
      <w:r>
        <w:t xml:space="preserve">The Mental Health Liaison Group (MHLG)- a coalition of  </w:t>
      </w:r>
      <w:r w:rsidR="00B0640C">
        <w:t xml:space="preserve">national organizations representing consumers, family members, mental health and addiction providers, advocates, </w:t>
      </w:r>
      <w:bookmarkStart w:id="0" w:name="_GoBack"/>
      <w:bookmarkEnd w:id="0"/>
      <w:r w:rsidR="00B0640C">
        <w:t>and other stakeholders</w:t>
      </w:r>
      <w:r>
        <w:t xml:space="preserve">- </w:t>
      </w:r>
      <w:r w:rsidR="00E57636">
        <w:t>is</w:t>
      </w:r>
      <w:r>
        <w:t xml:space="preserve"> writing to express our strong support for the Parity Enforcement Act (H.R. 2848), which </w:t>
      </w:r>
      <w:r w:rsidRPr="00A6080B">
        <w:t xml:space="preserve">would give the U.S. Department of Labor </w:t>
      </w:r>
      <w:r>
        <w:t xml:space="preserve">(USDOL) a </w:t>
      </w:r>
      <w:r w:rsidRPr="00A6080B">
        <w:t xml:space="preserve">critical tool </w:t>
      </w:r>
      <w:r>
        <w:t>to ensure health plan</w:t>
      </w:r>
      <w:r w:rsidRPr="00A6080B">
        <w:t xml:space="preserve"> compliance with the Paul Wellstone and Pete Domenici Mental Health Parity and Addiction Equity Act of 2008 </w:t>
      </w:r>
      <w:r>
        <w:t xml:space="preserve">(Federal Parity Act). </w:t>
      </w:r>
    </w:p>
    <w:p w14:paraId="51F3B248" w14:textId="77777777" w:rsidR="00626A2E" w:rsidRDefault="00626A2E" w:rsidP="00626A2E"/>
    <w:p w14:paraId="0D0B45C2" w14:textId="77777777" w:rsidR="00626A2E" w:rsidRDefault="00626A2E" w:rsidP="00626A2E">
      <w:r>
        <w:t xml:space="preserve">Under current law, USDOL lacks the ability to assess civil monetary penalties against health issuers and plan sponsors for violations of the Federal Parity Act, which </w:t>
      </w:r>
      <w:r w:rsidRPr="00595E08">
        <w:t xml:space="preserve">requires insurers to cover illnesses of the brain, such as depression or </w:t>
      </w:r>
      <w:r>
        <w:t>opioid use disorder</w:t>
      </w:r>
      <w:r w:rsidRPr="00595E08">
        <w:t>,</w:t>
      </w:r>
      <w:r>
        <w:t xml:space="preserve"> </w:t>
      </w:r>
      <w:r w:rsidRPr="00595E08">
        <w:t>no more restrictively than illnesses of the body, such as diabetes or cancer</w:t>
      </w:r>
      <w:r>
        <w:t>. Without this power, USDOL can only require plans to reimburse consumers for wrongly denied coverage of care that was nevertheless provided. Such meager authority is not enough and is unlikely to change plans’ coverage practices. USDOL must finally be able to hold plan issuers and sponsors accountable for illegal denials of mental health and substance use coverage more than 10 years after enactment of the Federal Parity Act.</w:t>
      </w:r>
    </w:p>
    <w:p w14:paraId="047FCF8A" w14:textId="77777777" w:rsidR="00626A2E" w:rsidRDefault="00626A2E" w:rsidP="00626A2E"/>
    <w:p w14:paraId="36498D1E" w14:textId="77777777" w:rsidR="00626A2E" w:rsidRDefault="00626A2E" w:rsidP="00626A2E">
      <w:r>
        <w:t>H.R. 2848 corrects this major gap in USDOL’s oversight authority by amending the Employee Retirement Income Security Act (ERISA) to give USDOL the authority to levy civil monetary penalties against health insurers and plan sponsors for parity violations. The provisions are identical to USDOL’s existing civil monetary penalty authority for violations of the Genetic Information Non-Discrimination Act. H.R. 2848 also includes safe harbor provisions to protect issuers and sponsors that are exercising “reasonable diligence” to comply with the Parity Act and that correct violations within 30 days of becoming known (or would have been known with reasonable diligence).</w:t>
      </w:r>
    </w:p>
    <w:p w14:paraId="3EB78347" w14:textId="77777777" w:rsidR="00626A2E" w:rsidRDefault="00626A2E" w:rsidP="00626A2E"/>
    <w:p w14:paraId="1E32297C" w14:textId="77777777" w:rsidR="00626A2E" w:rsidRDefault="00626A2E" w:rsidP="00626A2E">
      <w:r>
        <w:t>The need to give USDOL this authority for parity violations is widely recognized. President Trump’s Commission on Combating Drug Addiction and the Opioid Crisis recommended providing this authority</w:t>
      </w:r>
      <w:r>
        <w:rPr>
          <w:rStyle w:val="FootnoteReference"/>
        </w:rPr>
        <w:footnoteReference w:id="1"/>
      </w:r>
      <w:r>
        <w:t xml:space="preserve">, as did President Obama’s Mental Health </w:t>
      </w:r>
    </w:p>
    <w:p w14:paraId="6F3CBAB1" w14:textId="77777777" w:rsidR="00626A2E" w:rsidRDefault="00626A2E" w:rsidP="00626A2E"/>
    <w:p w14:paraId="49121697" w14:textId="77777777" w:rsidR="00626A2E" w:rsidRDefault="00626A2E" w:rsidP="00626A2E"/>
    <w:p w14:paraId="21340A4B" w14:textId="07D31D27" w:rsidR="00626A2E" w:rsidRDefault="00626A2E" w:rsidP="00626A2E">
      <w:r>
        <w:t>and Substance Use Disorders Parity Task Force.</w:t>
      </w:r>
      <w:r>
        <w:rPr>
          <w:rStyle w:val="FootnoteReference"/>
        </w:rPr>
        <w:footnoteReference w:id="2"/>
      </w:r>
      <w:r>
        <w:t xml:space="preserve"> In fact, Governor Chris Christie, chair of the Commission, stated that the authority is “absolutely necessary” and that the Commission “unequivocally” supported Congressional action to give USDOL the authority to issue penalties.</w:t>
      </w:r>
      <w:r>
        <w:rPr>
          <w:rStyle w:val="FootnoteReference"/>
        </w:rPr>
        <w:footnoteReference w:id="3"/>
      </w:r>
      <w:r>
        <w:t xml:space="preserve"> Secretary Alexander Acosta has also expressed his support for USDOL having this authority on several occasions, including most recently on May 1, 2019 when testifying before the House Education and Labor Committee.</w:t>
      </w:r>
      <w:r>
        <w:rPr>
          <w:rStyle w:val="FootnoteReference"/>
        </w:rPr>
        <w:footnoteReference w:id="4"/>
      </w:r>
    </w:p>
    <w:p w14:paraId="647BAE5E" w14:textId="77777777" w:rsidR="00626A2E" w:rsidRDefault="00626A2E" w:rsidP="00626A2E"/>
    <w:p w14:paraId="77DD4528" w14:textId="77777777" w:rsidR="00626A2E" w:rsidRDefault="00626A2E" w:rsidP="00626A2E">
      <w:r>
        <w:t>The MHLG thanks you for introducing this critical legislation that will increase compliance with the Federal Parity Act and, ultimately, increase access to life-saving mental health and substance use disorder care.</w:t>
      </w:r>
    </w:p>
    <w:p w14:paraId="7EB2F6C7" w14:textId="77777777" w:rsidR="00626A2E" w:rsidRDefault="00626A2E" w:rsidP="00626A2E"/>
    <w:p w14:paraId="32B23C2F" w14:textId="77777777" w:rsidR="00626A2E" w:rsidRDefault="00626A2E" w:rsidP="00626A2E">
      <w:r>
        <w:t>Sincerely,</w:t>
      </w:r>
    </w:p>
    <w:p w14:paraId="7ABBB5B5" w14:textId="77777777" w:rsidR="00626A2E" w:rsidRDefault="00626A2E" w:rsidP="00626A2E"/>
    <w:p w14:paraId="0E36CA68" w14:textId="77777777" w:rsidR="00626A2E" w:rsidRDefault="00626A2E" w:rsidP="00626A2E">
      <w:r>
        <w:t>2020 Mom</w:t>
      </w:r>
    </w:p>
    <w:p w14:paraId="66FFAFC0" w14:textId="77777777" w:rsidR="00626A2E" w:rsidRDefault="00626A2E" w:rsidP="00626A2E">
      <w:r>
        <w:t xml:space="preserve">American Academy of Child and Adolescent Psychiatry </w:t>
      </w:r>
    </w:p>
    <w:p w14:paraId="7A064CE3" w14:textId="77777777" w:rsidR="00626A2E" w:rsidRDefault="00626A2E" w:rsidP="00626A2E">
      <w:r>
        <w:t>American Art Therapy Association</w:t>
      </w:r>
    </w:p>
    <w:p w14:paraId="5EC08F22" w14:textId="77777777" w:rsidR="00626A2E" w:rsidRDefault="00626A2E" w:rsidP="00626A2E">
      <w:r>
        <w:t>American Association for Marriage and Family Therapy</w:t>
      </w:r>
    </w:p>
    <w:p w14:paraId="1C3FF022" w14:textId="77777777" w:rsidR="00626A2E" w:rsidRDefault="00626A2E" w:rsidP="00626A2E">
      <w:r>
        <w:t>American Association for Psychoanalysis in Clinical Social Work</w:t>
      </w:r>
    </w:p>
    <w:p w14:paraId="5BEC0797" w14:textId="77777777" w:rsidR="00626A2E" w:rsidRDefault="00626A2E" w:rsidP="00626A2E">
      <w:r>
        <w:t xml:space="preserve">American Association </w:t>
      </w:r>
      <w:proofErr w:type="spellStart"/>
      <w:r>
        <w:t>on</w:t>
      </w:r>
      <w:proofErr w:type="spellEnd"/>
      <w:r>
        <w:t xml:space="preserve"> Health and Disability</w:t>
      </w:r>
    </w:p>
    <w:p w14:paraId="08EC1163" w14:textId="77777777" w:rsidR="00626A2E" w:rsidRDefault="00626A2E" w:rsidP="00626A2E">
      <w:r>
        <w:t>American Counseling Association</w:t>
      </w:r>
    </w:p>
    <w:p w14:paraId="6363BB29" w14:textId="77777777" w:rsidR="00626A2E" w:rsidRDefault="00626A2E" w:rsidP="00626A2E">
      <w:r>
        <w:t>American Foundation for Suicide Prevention</w:t>
      </w:r>
    </w:p>
    <w:p w14:paraId="040FF694" w14:textId="77777777" w:rsidR="00626A2E" w:rsidRDefault="00626A2E" w:rsidP="00626A2E">
      <w:r>
        <w:t>American Group Psychotherapy Association</w:t>
      </w:r>
    </w:p>
    <w:p w14:paraId="737347B5" w14:textId="77777777" w:rsidR="00626A2E" w:rsidRDefault="00626A2E" w:rsidP="00626A2E">
      <w:r>
        <w:t>American Nurses Association</w:t>
      </w:r>
    </w:p>
    <w:p w14:paraId="2892D095" w14:textId="77777777" w:rsidR="00626A2E" w:rsidRDefault="00626A2E" w:rsidP="00626A2E">
      <w:r>
        <w:t>American Occupational Therapy Association</w:t>
      </w:r>
    </w:p>
    <w:p w14:paraId="2358B847" w14:textId="77777777" w:rsidR="00626A2E" w:rsidRDefault="00626A2E" w:rsidP="00626A2E">
      <w:r>
        <w:t>American Psychological Association</w:t>
      </w:r>
    </w:p>
    <w:p w14:paraId="1DA22E99" w14:textId="77777777" w:rsidR="00626A2E" w:rsidRDefault="00626A2E" w:rsidP="00626A2E">
      <w:r>
        <w:t>American Society of Addiction Medicine</w:t>
      </w:r>
    </w:p>
    <w:p w14:paraId="71E25CE6" w14:textId="77777777" w:rsidR="00626A2E" w:rsidRDefault="00626A2E" w:rsidP="00626A2E">
      <w:r>
        <w:t>Association for Ambulatory Behavioral Healthcare</w:t>
      </w:r>
    </w:p>
    <w:p w14:paraId="1412E209" w14:textId="77777777" w:rsidR="00626A2E" w:rsidRDefault="00626A2E" w:rsidP="00626A2E">
      <w:r>
        <w:t>Association for Behavioral and Cognitive Therapies</w:t>
      </w:r>
    </w:p>
    <w:p w14:paraId="33763E20" w14:textId="77777777" w:rsidR="00626A2E" w:rsidRDefault="00626A2E" w:rsidP="00626A2E">
      <w:r>
        <w:t>Campaign for Trauma-Informed Policy and Practice</w:t>
      </w:r>
    </w:p>
    <w:p w14:paraId="5A3A16B5" w14:textId="77777777" w:rsidR="00626A2E" w:rsidRDefault="00626A2E" w:rsidP="00626A2E">
      <w:r>
        <w:lastRenderedPageBreak/>
        <w:t xml:space="preserve">Children and Adults with Attention-Deficit Hyperactivity Disorder </w:t>
      </w:r>
    </w:p>
    <w:p w14:paraId="018609BB" w14:textId="77777777" w:rsidR="00626A2E" w:rsidRDefault="00626A2E" w:rsidP="00626A2E">
      <w:r>
        <w:t>Clinical Social Work Association</w:t>
      </w:r>
    </w:p>
    <w:p w14:paraId="0E2FF499" w14:textId="77777777" w:rsidR="00626A2E" w:rsidRDefault="00626A2E" w:rsidP="00626A2E">
      <w:r>
        <w:t>Depression and Bipolar Support Alliance</w:t>
      </w:r>
    </w:p>
    <w:p w14:paraId="60C744C2" w14:textId="77777777" w:rsidR="00626A2E" w:rsidRDefault="00626A2E" w:rsidP="00626A2E">
      <w:r>
        <w:t>Eating Disorders Coalition for Research, Policy &amp; Action</w:t>
      </w:r>
    </w:p>
    <w:p w14:paraId="57A5AE24" w14:textId="77777777" w:rsidR="00626A2E" w:rsidRDefault="00626A2E" w:rsidP="00626A2E">
      <w:r>
        <w:t xml:space="preserve">EMDR International Association </w:t>
      </w:r>
    </w:p>
    <w:p w14:paraId="0A166D34" w14:textId="77777777" w:rsidR="00626A2E" w:rsidRDefault="00626A2E" w:rsidP="00626A2E">
      <w:r>
        <w:t>Global Alliance for Behavioral Health and Social Justice</w:t>
      </w:r>
    </w:p>
    <w:p w14:paraId="19681A5E" w14:textId="77777777" w:rsidR="00626A2E" w:rsidRDefault="00626A2E" w:rsidP="00626A2E">
      <w:r>
        <w:t>Legal Action Center</w:t>
      </w:r>
    </w:p>
    <w:p w14:paraId="49C83DA6" w14:textId="77777777" w:rsidR="00626A2E" w:rsidRDefault="00626A2E" w:rsidP="00626A2E">
      <w:r>
        <w:t>Mental Health America</w:t>
      </w:r>
    </w:p>
    <w:p w14:paraId="21F1D74F" w14:textId="77777777" w:rsidR="00626A2E" w:rsidRDefault="00626A2E" w:rsidP="00626A2E">
      <w:r>
        <w:t>NAADAC, the Association for Addiction Professionals</w:t>
      </w:r>
    </w:p>
    <w:p w14:paraId="55DDA88C" w14:textId="77777777" w:rsidR="00626A2E" w:rsidRDefault="00626A2E" w:rsidP="00626A2E">
      <w:r>
        <w:t>National Alliance on Mental Illness</w:t>
      </w:r>
    </w:p>
    <w:p w14:paraId="3397DB33" w14:textId="77777777" w:rsidR="00626A2E" w:rsidRDefault="00626A2E" w:rsidP="00626A2E">
      <w:r>
        <w:t>National Alliance to Advance Adolescent Health</w:t>
      </w:r>
    </w:p>
    <w:p w14:paraId="63C11349" w14:textId="77777777" w:rsidR="00626A2E" w:rsidRDefault="00626A2E" w:rsidP="00626A2E">
      <w:r>
        <w:t>National Association for Behavioral Healthcare</w:t>
      </w:r>
    </w:p>
    <w:p w14:paraId="010DB69C" w14:textId="77777777" w:rsidR="00626A2E" w:rsidRDefault="00626A2E" w:rsidP="00626A2E">
      <w:r>
        <w:t>National Association for Children's Behavioral Health</w:t>
      </w:r>
    </w:p>
    <w:p w14:paraId="06231F0B" w14:textId="77777777" w:rsidR="00626A2E" w:rsidRDefault="00626A2E" w:rsidP="00626A2E">
      <w:r>
        <w:t>National Association of County Behavioral Health and Developmental Disability Directors</w:t>
      </w:r>
    </w:p>
    <w:p w14:paraId="0C6AAE76" w14:textId="77777777" w:rsidR="00626A2E" w:rsidRDefault="00626A2E" w:rsidP="00626A2E">
      <w:r>
        <w:t>National Association of Rural Mental Health</w:t>
      </w:r>
    </w:p>
    <w:p w14:paraId="73B38C16" w14:textId="77777777" w:rsidR="00626A2E" w:rsidRDefault="00626A2E" w:rsidP="00626A2E">
      <w:r>
        <w:t>National Association of Social Workers</w:t>
      </w:r>
    </w:p>
    <w:p w14:paraId="4A1210CC" w14:textId="77777777" w:rsidR="00626A2E" w:rsidRDefault="00626A2E" w:rsidP="00626A2E">
      <w:r>
        <w:t>National Association of State Mental Health Program Directors</w:t>
      </w:r>
    </w:p>
    <w:p w14:paraId="321B483D" w14:textId="77777777" w:rsidR="00626A2E" w:rsidRDefault="00626A2E" w:rsidP="00626A2E">
      <w:r>
        <w:t xml:space="preserve">National Council for Behavioral Health </w:t>
      </w:r>
    </w:p>
    <w:p w14:paraId="5BAF15BD" w14:textId="77777777" w:rsidR="00626A2E" w:rsidRDefault="00626A2E" w:rsidP="00626A2E">
      <w:r>
        <w:t xml:space="preserve">National Eating Disorders Association </w:t>
      </w:r>
    </w:p>
    <w:p w14:paraId="66E1DBBC" w14:textId="77777777" w:rsidR="00626A2E" w:rsidRDefault="00626A2E" w:rsidP="00626A2E">
      <w:r>
        <w:t xml:space="preserve">National Federation of Families for Children's Mental Health </w:t>
      </w:r>
    </w:p>
    <w:p w14:paraId="01B7A09B" w14:textId="77777777" w:rsidR="00626A2E" w:rsidRDefault="00626A2E" w:rsidP="00626A2E">
      <w:r>
        <w:t>National Register of Health Service Psychologists</w:t>
      </w:r>
    </w:p>
    <w:p w14:paraId="7C98FD99" w14:textId="77777777" w:rsidR="00626A2E" w:rsidRDefault="00626A2E" w:rsidP="00626A2E">
      <w:r>
        <w:t>Psychotherapy Action Network</w:t>
      </w:r>
    </w:p>
    <w:p w14:paraId="1445C5A2" w14:textId="77777777" w:rsidR="00626A2E" w:rsidRDefault="00626A2E" w:rsidP="00626A2E">
      <w:r>
        <w:t>Schizophrenia and Related Disorders Alliance of America</w:t>
      </w:r>
    </w:p>
    <w:p w14:paraId="53BB8362" w14:textId="77777777" w:rsidR="00626A2E" w:rsidRDefault="00626A2E" w:rsidP="00626A2E">
      <w:r>
        <w:t xml:space="preserve">SMART Recovery </w:t>
      </w:r>
    </w:p>
    <w:p w14:paraId="5BAC34E5" w14:textId="77777777" w:rsidR="00626A2E" w:rsidRDefault="00626A2E" w:rsidP="00626A2E">
      <w:r>
        <w:t>The Kennedy Forum</w:t>
      </w:r>
    </w:p>
    <w:p w14:paraId="78761D6A" w14:textId="77777777" w:rsidR="00626A2E" w:rsidRDefault="00626A2E" w:rsidP="00626A2E">
      <w:r>
        <w:t>Tourette Association of America</w:t>
      </w:r>
    </w:p>
    <w:p w14:paraId="66535EBF" w14:textId="77777777" w:rsidR="00626A2E" w:rsidRDefault="00626A2E" w:rsidP="00626A2E">
      <w:r>
        <w:t>Treatment Communities of America</w:t>
      </w:r>
    </w:p>
    <w:p w14:paraId="2766AD50" w14:textId="77777777" w:rsidR="00626A2E" w:rsidRDefault="00626A2E" w:rsidP="00626A2E">
      <w:r>
        <w:t>Trust for America's Health</w:t>
      </w:r>
    </w:p>
    <w:p w14:paraId="1AA4B554" w14:textId="77777777" w:rsidR="00626A2E" w:rsidRDefault="00626A2E"/>
    <w:sectPr w:rsidR="00626A2E" w:rsidSect="00065F23">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8E546" w14:textId="77777777" w:rsidR="00343362" w:rsidRDefault="00343362" w:rsidP="009C600F">
      <w:r>
        <w:separator/>
      </w:r>
    </w:p>
  </w:endnote>
  <w:endnote w:type="continuationSeparator" w:id="0">
    <w:p w14:paraId="541F197A" w14:textId="77777777" w:rsidR="00343362" w:rsidRDefault="00343362" w:rsidP="009C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353B" w14:textId="77777777" w:rsidR="009C600F" w:rsidRDefault="009C600F">
    <w:pPr>
      <w:pStyle w:val="Footer"/>
    </w:pPr>
    <w:r>
      <w:rPr>
        <w:noProof/>
      </w:rPr>
      <w:drawing>
        <wp:anchor distT="0" distB="0" distL="114300" distR="114300" simplePos="0" relativeHeight="251659264" behindDoc="1" locked="0" layoutInCell="1" allowOverlap="1" wp14:anchorId="2FCA20FE" wp14:editId="786083AA">
          <wp:simplePos x="0" y="0"/>
          <wp:positionH relativeFrom="page">
            <wp:posOffset>0</wp:posOffset>
          </wp:positionH>
          <wp:positionV relativeFrom="page">
            <wp:posOffset>9427210</wp:posOffset>
          </wp:positionV>
          <wp:extent cx="7772400" cy="3076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LG_letterhead_foot.png"/>
                  <pic:cNvPicPr/>
                </pic:nvPicPr>
                <pic:blipFill>
                  <a:blip r:embed="rId1">
                    <a:extLst>
                      <a:ext uri="{28A0092B-C50C-407E-A947-70E740481C1C}">
                        <a14:useLocalDpi xmlns:a14="http://schemas.microsoft.com/office/drawing/2010/main" val="0"/>
                      </a:ext>
                    </a:extLst>
                  </a:blip>
                  <a:stretch>
                    <a:fillRect/>
                  </a:stretch>
                </pic:blipFill>
                <pic:spPr>
                  <a:xfrm>
                    <a:off x="0" y="0"/>
                    <a:ext cx="7772400" cy="3076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B0E04" w14:textId="77777777" w:rsidR="00343362" w:rsidRDefault="00343362" w:rsidP="009C600F">
      <w:r>
        <w:separator/>
      </w:r>
    </w:p>
  </w:footnote>
  <w:footnote w:type="continuationSeparator" w:id="0">
    <w:p w14:paraId="403377BA" w14:textId="77777777" w:rsidR="00343362" w:rsidRDefault="00343362" w:rsidP="009C600F">
      <w:r>
        <w:continuationSeparator/>
      </w:r>
    </w:p>
  </w:footnote>
  <w:footnote w:id="1">
    <w:p w14:paraId="2913AD6E" w14:textId="77777777" w:rsidR="00626A2E" w:rsidRDefault="00626A2E" w:rsidP="00626A2E">
      <w:pPr>
        <w:pStyle w:val="FootnoteText"/>
        <w:spacing w:after="60"/>
      </w:pPr>
      <w:r>
        <w:rPr>
          <w:rStyle w:val="FootnoteReference"/>
        </w:rPr>
        <w:footnoteRef/>
      </w:r>
      <w:r>
        <w:t xml:space="preserve"> Recommendation 35 of The President’s Commission on Combating Drug Addiction and the Opioid Crisis, November 2017, </w:t>
      </w:r>
      <w:hyperlink r:id="rId1" w:history="1">
        <w:r w:rsidRPr="00843AF6">
          <w:rPr>
            <w:rStyle w:val="Hyperlink"/>
          </w:rPr>
          <w:t>https://www.whitehouse.gov/sites/whitehouse.gov/files/images/Final_Report_Draft_11-15-2017.pdf</w:t>
        </w:r>
      </w:hyperlink>
      <w:r>
        <w:t>.</w:t>
      </w:r>
    </w:p>
  </w:footnote>
  <w:footnote w:id="2">
    <w:p w14:paraId="72F126DB" w14:textId="77777777" w:rsidR="00626A2E" w:rsidRPr="00843AF6" w:rsidRDefault="00626A2E" w:rsidP="00626A2E">
      <w:pPr>
        <w:pStyle w:val="FootnoteText"/>
      </w:pPr>
      <w:r>
        <w:rPr>
          <w:rStyle w:val="FootnoteReference"/>
        </w:rPr>
        <w:footnoteRef/>
      </w:r>
      <w:r>
        <w:t xml:space="preserve"> Final Report of The Mental Health &amp; Substance Use Disorder Parity Task Force, October 2016, </w:t>
      </w:r>
      <w:hyperlink r:id="rId2" w:history="1">
        <w:r w:rsidRPr="00843AF6">
          <w:rPr>
            <w:rStyle w:val="Hyperlink"/>
          </w:rPr>
          <w:t>https://www.hhs.gov/sites/default/files/mental-health-substance-use-disorder-parity-task-force-final-report.PDF</w:t>
        </w:r>
      </w:hyperlink>
      <w:r>
        <w:t>.</w:t>
      </w:r>
    </w:p>
    <w:p w14:paraId="286C8DDB" w14:textId="77777777" w:rsidR="00626A2E" w:rsidRDefault="00626A2E" w:rsidP="00626A2E">
      <w:pPr>
        <w:pStyle w:val="FootnoteText"/>
      </w:pPr>
    </w:p>
  </w:footnote>
  <w:footnote w:id="3">
    <w:p w14:paraId="678ACC6B" w14:textId="77777777" w:rsidR="00626A2E" w:rsidRDefault="00626A2E" w:rsidP="00626A2E">
      <w:pPr>
        <w:pStyle w:val="FootnoteText"/>
        <w:spacing w:after="60"/>
      </w:pPr>
      <w:r>
        <w:rPr>
          <w:rStyle w:val="FootnoteReference"/>
        </w:rPr>
        <w:footnoteRef/>
      </w:r>
      <w:r>
        <w:t xml:space="preserve"> November 1, 2017 Meeting of the President’s Commission on Combating Drug Addiction and the Opioid Crisis, </w:t>
      </w:r>
      <w:hyperlink r:id="rId3" w:history="1">
        <w:r w:rsidRPr="004A06E1">
          <w:rPr>
            <w:rStyle w:val="Hyperlink"/>
          </w:rPr>
          <w:t>https://www.youtube.com/watch?v=uO_wF92ebsc</w:t>
        </w:r>
      </w:hyperlink>
      <w:r>
        <w:t xml:space="preserve">. </w:t>
      </w:r>
    </w:p>
  </w:footnote>
  <w:footnote w:id="4">
    <w:p w14:paraId="52D1181C" w14:textId="77777777" w:rsidR="00626A2E" w:rsidRDefault="00626A2E" w:rsidP="00626A2E">
      <w:pPr>
        <w:pStyle w:val="FootnoteText"/>
      </w:pPr>
      <w:r>
        <w:rPr>
          <w:rStyle w:val="FootnoteReference"/>
        </w:rPr>
        <w:footnoteRef/>
      </w:r>
      <w:r>
        <w:t xml:space="preserve"> U.S. Department of Labor Secretary Alexander Acosta testified that civil monetary penalty authority would be helpful to the Department’s enforcement efforts both before the President Trump’s Commission on Combating Drug Addiction and the Opioid Crisis on October 20, 2017 (</w:t>
      </w:r>
      <w:hyperlink r:id="rId4" w:history="1">
        <w:r w:rsidRPr="004A06E1">
          <w:rPr>
            <w:rStyle w:val="Hyperlink"/>
          </w:rPr>
          <w:t>https://www.youtube.com/watch?v=Jwu2LOVXBIg</w:t>
        </w:r>
      </w:hyperlink>
      <w:r>
        <w:t>) and again before the House of Representatives Education and Labor Committee on May 1, 2019 (</w:t>
      </w:r>
      <w:hyperlink r:id="rId5" w:history="1">
        <w:r w:rsidRPr="002B70B2">
          <w:rPr>
            <w:rStyle w:val="Hyperlink"/>
          </w:rPr>
          <w:t>https://www.youtube.com/watch?v=GnK2GYHaVz8&amp;feature=youtu.be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7FC1" w14:textId="77777777" w:rsidR="009C600F" w:rsidRPr="009C600F" w:rsidRDefault="009C600F" w:rsidP="009C600F">
    <w:pPr>
      <w:pStyle w:val="Header"/>
    </w:pPr>
    <w:r>
      <w:rPr>
        <w:noProof/>
      </w:rPr>
      <w:drawing>
        <wp:anchor distT="0" distB="0" distL="114300" distR="114300" simplePos="0" relativeHeight="251658240" behindDoc="1" locked="0" layoutInCell="1" allowOverlap="1" wp14:anchorId="597FCB0C" wp14:editId="169D68CC">
          <wp:simplePos x="0" y="0"/>
          <wp:positionH relativeFrom="page">
            <wp:posOffset>-3175</wp:posOffset>
          </wp:positionH>
          <wp:positionV relativeFrom="page">
            <wp:posOffset>-166370</wp:posOffset>
          </wp:positionV>
          <wp:extent cx="7766431" cy="1370546"/>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LG_letterhead_top.png"/>
                  <pic:cNvPicPr/>
                </pic:nvPicPr>
                <pic:blipFill>
                  <a:blip r:embed="rId1">
                    <a:extLst>
                      <a:ext uri="{28A0092B-C50C-407E-A947-70E740481C1C}">
                        <a14:useLocalDpi xmlns:a14="http://schemas.microsoft.com/office/drawing/2010/main" val="0"/>
                      </a:ext>
                    </a:extLst>
                  </a:blip>
                  <a:stretch>
                    <a:fillRect/>
                  </a:stretch>
                </pic:blipFill>
                <pic:spPr>
                  <a:xfrm>
                    <a:off x="0" y="0"/>
                    <a:ext cx="7766431" cy="137054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00F"/>
    <w:rsid w:val="00065F23"/>
    <w:rsid w:val="00343362"/>
    <w:rsid w:val="00626A2E"/>
    <w:rsid w:val="009C600F"/>
    <w:rsid w:val="00B0640C"/>
    <w:rsid w:val="00CA3534"/>
    <w:rsid w:val="00E5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93D40C"/>
  <w14:defaultImageDpi w14:val="300"/>
  <w15:docId w15:val="{F5554D21-D4FB-4F41-A292-50908C32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00F"/>
    <w:pPr>
      <w:tabs>
        <w:tab w:val="center" w:pos="4320"/>
        <w:tab w:val="right" w:pos="8640"/>
      </w:tabs>
    </w:pPr>
  </w:style>
  <w:style w:type="character" w:customStyle="1" w:styleId="HeaderChar">
    <w:name w:val="Header Char"/>
    <w:basedOn w:val="DefaultParagraphFont"/>
    <w:link w:val="Header"/>
    <w:uiPriority w:val="99"/>
    <w:rsid w:val="009C600F"/>
  </w:style>
  <w:style w:type="paragraph" w:styleId="Footer">
    <w:name w:val="footer"/>
    <w:basedOn w:val="Normal"/>
    <w:link w:val="FooterChar"/>
    <w:uiPriority w:val="99"/>
    <w:unhideWhenUsed/>
    <w:rsid w:val="009C600F"/>
    <w:pPr>
      <w:tabs>
        <w:tab w:val="center" w:pos="4320"/>
        <w:tab w:val="right" w:pos="8640"/>
      </w:tabs>
    </w:pPr>
  </w:style>
  <w:style w:type="character" w:customStyle="1" w:styleId="FooterChar">
    <w:name w:val="Footer Char"/>
    <w:basedOn w:val="DefaultParagraphFont"/>
    <w:link w:val="Footer"/>
    <w:uiPriority w:val="99"/>
    <w:rsid w:val="009C600F"/>
  </w:style>
  <w:style w:type="paragraph" w:styleId="BalloonText">
    <w:name w:val="Balloon Text"/>
    <w:basedOn w:val="Normal"/>
    <w:link w:val="BalloonTextChar"/>
    <w:uiPriority w:val="99"/>
    <w:semiHidden/>
    <w:unhideWhenUsed/>
    <w:rsid w:val="009C600F"/>
    <w:rPr>
      <w:rFonts w:ascii="Lucida Grande" w:hAnsi="Lucida Grande"/>
      <w:sz w:val="18"/>
      <w:szCs w:val="18"/>
    </w:rPr>
  </w:style>
  <w:style w:type="character" w:customStyle="1" w:styleId="BalloonTextChar">
    <w:name w:val="Balloon Text Char"/>
    <w:basedOn w:val="DefaultParagraphFont"/>
    <w:link w:val="BalloonText"/>
    <w:uiPriority w:val="99"/>
    <w:semiHidden/>
    <w:rsid w:val="009C600F"/>
    <w:rPr>
      <w:rFonts w:ascii="Lucida Grande" w:hAnsi="Lucida Grande"/>
      <w:sz w:val="18"/>
      <w:szCs w:val="18"/>
    </w:rPr>
  </w:style>
  <w:style w:type="paragraph" w:styleId="FootnoteText">
    <w:name w:val="footnote text"/>
    <w:basedOn w:val="Normal"/>
    <w:link w:val="FootnoteTextChar"/>
    <w:uiPriority w:val="99"/>
    <w:semiHidden/>
    <w:unhideWhenUsed/>
    <w:rsid w:val="00626A2E"/>
    <w:rPr>
      <w:rFonts w:eastAsiaTheme="minorHAnsi"/>
      <w:sz w:val="20"/>
      <w:szCs w:val="20"/>
    </w:rPr>
  </w:style>
  <w:style w:type="character" w:customStyle="1" w:styleId="FootnoteTextChar">
    <w:name w:val="Footnote Text Char"/>
    <w:basedOn w:val="DefaultParagraphFont"/>
    <w:link w:val="FootnoteText"/>
    <w:uiPriority w:val="99"/>
    <w:semiHidden/>
    <w:rsid w:val="00626A2E"/>
    <w:rPr>
      <w:rFonts w:eastAsiaTheme="minorHAnsi"/>
      <w:sz w:val="20"/>
      <w:szCs w:val="20"/>
    </w:rPr>
  </w:style>
  <w:style w:type="character" w:styleId="FootnoteReference">
    <w:name w:val="footnote reference"/>
    <w:basedOn w:val="DefaultParagraphFont"/>
    <w:uiPriority w:val="99"/>
    <w:semiHidden/>
    <w:unhideWhenUsed/>
    <w:rsid w:val="00626A2E"/>
    <w:rPr>
      <w:vertAlign w:val="superscript"/>
    </w:rPr>
  </w:style>
  <w:style w:type="character" w:styleId="Hyperlink">
    <w:name w:val="Hyperlink"/>
    <w:basedOn w:val="DefaultParagraphFont"/>
    <w:uiPriority w:val="99"/>
    <w:unhideWhenUsed/>
    <w:rsid w:val="00626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uO_wF92ebsc" TargetMode="External"/><Relationship Id="rId2" Type="http://schemas.openxmlformats.org/officeDocument/2006/relationships/hyperlink" Target="https://www.hhs.gov/sites/default/files/mental-health-substance-use-disorder-parity-task-force-final-report.PDF" TargetMode="External"/><Relationship Id="rId1" Type="http://schemas.openxmlformats.org/officeDocument/2006/relationships/hyperlink" Target="https://www.whitehouse.gov/sites/whitehouse.gov/files/images/Final_Report_Draft_11-15-2017.pdf" TargetMode="External"/><Relationship Id="rId5" Type="http://schemas.openxmlformats.org/officeDocument/2006/relationships/hyperlink" Target="https://www.youtube.com/watch?v=GnK2GYHaVz8&amp;feature=youtu.be" TargetMode="External"/><Relationship Id="rId4" Type="http://schemas.openxmlformats.org/officeDocument/2006/relationships/hyperlink" Target="https://www.youtube.com/watch?v=Jwu2LOVXB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Juhyeon An</dc:creator>
  <cp:keywords/>
  <dc:description/>
  <cp:lastModifiedBy>Stine, Laurel</cp:lastModifiedBy>
  <cp:revision>4</cp:revision>
  <dcterms:created xsi:type="dcterms:W3CDTF">2019-06-18T13:34:00Z</dcterms:created>
  <dcterms:modified xsi:type="dcterms:W3CDTF">2019-06-18T13:42:00Z</dcterms:modified>
</cp:coreProperties>
</file>